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DC8A" w14:textId="77777777" w:rsidR="00DA08D7" w:rsidRPr="00B212A3" w:rsidRDefault="00B212A3" w:rsidP="00DA08D7">
      <w:pPr>
        <w:pStyle w:val="ListParagraph"/>
      </w:pPr>
      <w:r>
        <w:br/>
      </w:r>
    </w:p>
    <w:tbl>
      <w:tblPr>
        <w:tblStyle w:val="TableGrid0"/>
        <w:tblW w:w="10800" w:type="dxa"/>
        <w:tblInd w:w="-8" w:type="dxa"/>
        <w:tblCellMar>
          <w:top w:w="49" w:type="dxa"/>
          <w:left w:w="107" w:type="dxa"/>
          <w:right w:w="18" w:type="dxa"/>
        </w:tblCellMar>
        <w:tblLook w:val="04A0" w:firstRow="1" w:lastRow="0" w:firstColumn="1" w:lastColumn="0" w:noHBand="0" w:noVBand="1"/>
      </w:tblPr>
      <w:tblGrid>
        <w:gridCol w:w="1170"/>
        <w:gridCol w:w="630"/>
        <w:gridCol w:w="6300"/>
        <w:gridCol w:w="2700"/>
      </w:tblGrid>
      <w:tr w:rsidR="00DA08D7" w14:paraId="573E6556" w14:textId="77777777" w:rsidTr="00467472">
        <w:trPr>
          <w:trHeight w:val="281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CFA3E8C" w14:textId="77777777" w:rsidR="00DA08D7" w:rsidRDefault="00DA08D7" w:rsidP="00832260">
            <w:pPr>
              <w:ind w:right="90"/>
              <w:jc w:val="center"/>
            </w:pPr>
            <w:bookmarkStart w:id="0" w:name="_Hlk55482002"/>
            <w:r>
              <w:rPr>
                <w:rFonts w:ascii="Calibri" w:eastAsia="Calibri" w:hAnsi="Calibri" w:cs="Calibri"/>
                <w:b/>
              </w:rPr>
              <w:t xml:space="preserve">Section 2 – Policies and Procedures Manual </w:t>
            </w:r>
          </w:p>
        </w:tc>
      </w:tr>
      <w:tr w:rsidR="00DA08D7" w14:paraId="34B554CE" w14:textId="77777777" w:rsidTr="00467472">
        <w:trPr>
          <w:trHeight w:val="28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14:paraId="0FC2846A" w14:textId="77777777" w:rsidR="00DA08D7" w:rsidRDefault="00DA08D7" w:rsidP="00832260">
            <w:pPr>
              <w:ind w:left="10"/>
            </w:pPr>
            <w:r>
              <w:rPr>
                <w:rFonts w:ascii="Calibri" w:eastAsia="Calibri" w:hAnsi="Calibri" w:cs="Calibri"/>
                <w:b/>
                <w:i/>
              </w:rPr>
              <w:t xml:space="preserve">Standard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5E86C3" w14:textId="77777777" w:rsidR="00DA08D7" w:rsidRDefault="00DA08D7" w:rsidP="00832260">
            <w:pPr>
              <w:ind w:right="92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#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64BFC8" w14:textId="77777777" w:rsidR="00DA08D7" w:rsidRDefault="00DA08D7" w:rsidP="00832260">
            <w:pPr>
              <w:ind w:right="84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Question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1E2670" w14:textId="77777777" w:rsidR="00DA08D7" w:rsidRDefault="00DA08D7" w:rsidP="00832260">
            <w:pPr>
              <w:ind w:right="84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Eye Bank SOP </w:t>
            </w:r>
          </w:p>
        </w:tc>
      </w:tr>
      <w:tr w:rsidR="00DA08D7" w14:paraId="06ED92AE" w14:textId="77777777" w:rsidTr="00467472">
        <w:trPr>
          <w:trHeight w:val="28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2C91" w14:textId="00F9F06A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B1.200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8653" w14:textId="0F88C9A9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FB36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Reporting requirements following inspections by official agencies?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3763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263BF5A9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0DC26" w14:textId="0DACFFE3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C2.000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A8DD2" w14:textId="40E15BE1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A055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An orientation program for new employees performing eye bank functions?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BE36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6989B290" w14:textId="77777777" w:rsidTr="00467472">
        <w:trPr>
          <w:trHeight w:val="8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1847" w14:textId="208E8F9C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C2.000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4B5D" w14:textId="18280CC5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F406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Does the eye bank have a comprehensive and well-defined training program outlining specific job-related tasks that each employee and non-employee is being trained to perform?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375C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680C0F49" w14:textId="77777777" w:rsidTr="00467472">
        <w:trPr>
          <w:trHeight w:val="8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43F1D" w14:textId="537EA4C7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C2.000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61E97" w14:textId="3C843D83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65A3" w14:textId="77777777" w:rsidR="00DA08D7" w:rsidRDefault="00DA08D7" w:rsidP="00832260">
            <w:pPr>
              <w:ind w:left="3" w:right="62"/>
            </w:pPr>
            <w:r>
              <w:rPr>
                <w:rFonts w:ascii="Calibri" w:eastAsia="Calibri" w:hAnsi="Calibri" w:cs="Calibri"/>
              </w:rPr>
              <w:t xml:space="preserve">Documentation of annual competency reviews of skills and </w:t>
            </w:r>
            <w:r>
              <w:t>job-related</w:t>
            </w:r>
            <w:r>
              <w:rPr>
                <w:rFonts w:ascii="Calibri" w:eastAsia="Calibri" w:hAnsi="Calibri" w:cs="Calibri"/>
              </w:rPr>
              <w:t xml:space="preserve"> knowledge for all employees and non-employees performing eye bank functions?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815E0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663E5F16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465A" w14:textId="38388E8D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C3.200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EB493" w14:textId="6CC18765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48FC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Monitoring, inspection and cleaning procedures and schedules for each piece of equipment?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6E6BB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557FDFEE" w14:textId="77777777" w:rsidTr="00467472">
        <w:trPr>
          <w:trHeight w:val="55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2AFF4" w14:textId="5774152B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C3.200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D8C5" w14:textId="1B5CE69E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A8BA" w14:textId="77777777" w:rsidR="00DA08D7" w:rsidRDefault="00DA08D7" w:rsidP="00832260">
            <w:pPr>
              <w:ind w:left="3" w:right="44"/>
            </w:pPr>
            <w:r>
              <w:rPr>
                <w:rFonts w:ascii="Calibri" w:eastAsia="Calibri" w:hAnsi="Calibri" w:cs="Calibri"/>
              </w:rPr>
              <w:t xml:space="preserve">Requiring testing of the refrigerator alarm system on a regular basis?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CA04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120A9C28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E9D8E" w14:textId="560806A0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C3.600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F203D" w14:textId="0CF3100E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7ADD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Utilizing Standard Precautions according to applicable regulatory requirements?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A1453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458B5678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6281" w14:textId="63BB9A16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C3.600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0BCA4" w14:textId="2F133641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A7E2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An exposure control plan that meets OSHA or other applicable regulatory requirements (i.e. reporting needlestick injuries)?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26DCF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1978582E" w14:textId="77777777" w:rsidTr="00467472">
        <w:trPr>
          <w:trHeight w:val="28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233F" w14:textId="0F15238C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C3.700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DFB6" w14:textId="390173B9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08F5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Disposing of biohazardous waste?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6F8D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17DD4230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9C07" w14:textId="07C14D16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D7EAD" w14:textId="1DB70668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D4A" w14:textId="3A0F222F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Physical inspection of the donor with special attention to physical signs of HIV disease, infectious </w:t>
            </w:r>
            <w:r w:rsidR="00F06C2E">
              <w:rPr>
                <w:rFonts w:ascii="Calibri" w:eastAsia="Calibri" w:hAnsi="Calibri" w:cs="Calibri"/>
              </w:rPr>
              <w:t>hepatitis,</w:t>
            </w:r>
            <w:r>
              <w:rPr>
                <w:rFonts w:ascii="Calibri" w:eastAsia="Calibri" w:hAnsi="Calibri" w:cs="Calibri"/>
              </w:rPr>
              <w:t xml:space="preserve"> and injecting drug use?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60C94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76A86F3A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FCAA" w14:textId="117D8D37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9B556" w14:textId="189F2AC2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8B31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Routine examination and documentation of prospective donors' medical records and death investigation?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C6AB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74E2459D" w14:textId="77777777" w:rsidTr="00467472">
        <w:trPr>
          <w:trHeight w:val="28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ED7F" w14:textId="2D381BA9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EA7D" w14:textId="5C89EB4C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B6F2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Obtaining a medical and social history of each donor?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2D5E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62BBE0A3" w14:textId="77777777" w:rsidTr="00467472">
        <w:trPr>
          <w:trHeight w:val="8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58967" w14:textId="3214B8B3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50784" w14:textId="5FFE68B1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1749" w14:textId="77777777" w:rsidR="00DA08D7" w:rsidRDefault="00DA08D7" w:rsidP="00832260">
            <w:pPr>
              <w:ind w:left="3" w:right="43"/>
            </w:pPr>
            <w:r>
              <w:rPr>
                <w:rFonts w:ascii="Calibri" w:eastAsia="Calibri" w:hAnsi="Calibri" w:cs="Calibri"/>
              </w:rPr>
              <w:t xml:space="preserve">Adequate documentation of donor information/completion of donor files, including medical examiner reports and gross autopsy results?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3E89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7E49A220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C95F" w14:textId="3E033AF2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B1A86" w14:textId="1CF93E4B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7ECB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Screening for and listing of exclusion criteria listed in EBAA Medical Standards Section D1.100?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EBBD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038CC7FF" w14:textId="77777777" w:rsidTr="00467472">
        <w:trPr>
          <w:trHeight w:val="28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981D" w14:textId="20D777B3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7F5A" w14:textId="0517C734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9256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Obtaining donor sample for infectious disease testing?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C3C9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A08D7" w14:paraId="00F48281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12A2C" w14:textId="7C41B9B4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BE17" w14:textId="007E27DB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459C" w14:textId="77777777" w:rsidR="00DA08D7" w:rsidRDefault="00DA08D7" w:rsidP="00832260">
            <w:pPr>
              <w:ind w:left="3"/>
              <w:jc w:val="both"/>
            </w:pPr>
            <w:r>
              <w:rPr>
                <w:rFonts w:ascii="Calibri" w:eastAsia="Calibri" w:hAnsi="Calibri" w:cs="Calibri"/>
              </w:rPr>
              <w:t xml:space="preserve">Infectious disease (and microbiological, if applicable) testing performed by CLIA certified and FDA registered laboratories?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32F8F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025E09C5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4496" w14:textId="77777777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D1.200-</w:t>
            </w:r>
          </w:p>
          <w:p w14:paraId="79371165" w14:textId="02CB9A9C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525E" w14:textId="57F6FFEE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B199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Screening by infectious disease testing in accordance with EBAA Medical Standards and all applicable federal and state laws?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8FF12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5430D734" w14:textId="77777777" w:rsidTr="00467472">
        <w:trPr>
          <w:trHeight w:val="28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6ED4" w14:textId="39C527B6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B7ED" w14:textId="5B913EF7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C1B6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Calculating the plasma dilution status of a donor?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28F4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48380CD2" w14:textId="77777777" w:rsidTr="00467472">
        <w:trPr>
          <w:trHeight w:val="55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CD96D" w14:textId="6E297F5E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D1.200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E2E40" w14:textId="490819BB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0646" w14:textId="77777777" w:rsidR="00DA08D7" w:rsidRDefault="00DA08D7" w:rsidP="00832260">
            <w:pPr>
              <w:ind w:left="3"/>
              <w:jc w:val="both"/>
            </w:pPr>
            <w:r>
              <w:rPr>
                <w:rFonts w:ascii="Calibri" w:eastAsia="Calibri" w:hAnsi="Calibri" w:cs="Calibri"/>
              </w:rPr>
              <w:t xml:space="preserve">Not releasing tissue designated for surgical use without documentation of required negative infectious disease testing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A67AC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4EF69EF9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0BE3D" w14:textId="56CFFA04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D1.230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EFDDC" w14:textId="03B7588D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9048" w14:textId="77777777" w:rsidR="00DA08D7" w:rsidRDefault="00DA08D7" w:rsidP="00832260">
            <w:pPr>
              <w:ind w:left="3"/>
              <w:jc w:val="both"/>
            </w:pPr>
            <w:r>
              <w:rPr>
                <w:rFonts w:ascii="Calibri" w:eastAsia="Calibri" w:hAnsi="Calibri" w:cs="Calibri"/>
              </w:rPr>
              <w:t xml:space="preserve">Handling laboratory reports of non-required tests, whether received before or after tissue distribution?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4C5D8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412EDB40" w14:textId="77777777" w:rsidTr="00467472">
        <w:trPr>
          <w:trHeight w:val="28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9671" w14:textId="2BCCDEAF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D1.300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51AD" w14:textId="6D87A1A9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57E1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Obtaining a unique identifying number for each donor?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1A25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33F0DC93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0FF9" w14:textId="0751B22E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D1.400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7A89B" w14:textId="642D43D5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4AC1" w14:textId="77777777" w:rsidR="00DA08D7" w:rsidRDefault="00DA08D7" w:rsidP="00832260">
            <w:pPr>
              <w:ind w:left="3" w:right="80"/>
            </w:pPr>
            <w:r>
              <w:rPr>
                <w:rFonts w:ascii="Calibri" w:eastAsia="Calibri" w:hAnsi="Calibri" w:cs="Calibri"/>
              </w:rPr>
              <w:t xml:space="preserve">Obtaining legal authorization for eye tissue donation consistent with EBAA Medical Standards, federal law, and state law?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C9F1C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72A91CD8" w14:textId="77777777" w:rsidTr="00467472">
        <w:trPr>
          <w:trHeight w:val="28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C05B" w14:textId="37903A44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D1.500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2B70" w14:textId="33180E28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535D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Donor age exclusion criteria?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CAEF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0B9C5A54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8B7E" w14:textId="3CE3EB00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D1.600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58E1" w14:textId="0EBB2A02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B675" w14:textId="510674A9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Recording date and time of death, enucleation, preservation, additional </w:t>
            </w:r>
            <w:r w:rsidR="00F06C2E">
              <w:rPr>
                <w:rFonts w:ascii="Calibri" w:eastAsia="Calibri" w:hAnsi="Calibri" w:cs="Calibri"/>
              </w:rPr>
              <w:t>processing,</w:t>
            </w:r>
            <w:r>
              <w:rPr>
                <w:rFonts w:ascii="Calibri" w:eastAsia="Calibri" w:hAnsi="Calibri" w:cs="Calibri"/>
              </w:rPr>
              <w:t xml:space="preserve"> and cooling of ocular tissues for each donor?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29720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20253FCC" w14:textId="77777777" w:rsidTr="00467472">
        <w:trPr>
          <w:trHeight w:val="283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08BC" w14:textId="3D473B62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D1.700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BAF5" w14:textId="70BE0254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3EB8" w14:textId="77777777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Eye maintenance prior to ocular tissue removal procedures?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DA08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8D7" w14:paraId="1454F886" w14:textId="77777777" w:rsidTr="00467472">
        <w:trPr>
          <w:trHeight w:val="5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0D353F" w14:textId="446C47A7" w:rsidR="00DA08D7" w:rsidRDefault="00DA08D7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C09E4F" w14:textId="0905A451" w:rsidR="00DA08D7" w:rsidRDefault="00DA08D7" w:rsidP="00A44783">
            <w:pPr>
              <w:ind w:left="1"/>
              <w:jc w:val="center"/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86102B" w14:textId="3E4DBBC5" w:rsidR="00DA08D7" w:rsidRDefault="00DA08D7" w:rsidP="00832260">
            <w:pPr>
              <w:ind w:left="3"/>
            </w:pPr>
            <w:r>
              <w:rPr>
                <w:rFonts w:ascii="Calibri" w:eastAsia="Calibri" w:hAnsi="Calibri" w:cs="Calibri"/>
              </w:rPr>
              <w:t xml:space="preserve">Detailing aseptic technique for recovery, </w:t>
            </w:r>
            <w:r w:rsidR="00F06C2E">
              <w:rPr>
                <w:rFonts w:ascii="Calibri" w:eastAsia="Calibri" w:hAnsi="Calibri" w:cs="Calibri"/>
              </w:rPr>
              <w:t>processing,</w:t>
            </w:r>
            <w:r>
              <w:rPr>
                <w:rFonts w:ascii="Calibri" w:eastAsia="Calibri" w:hAnsi="Calibri" w:cs="Calibri"/>
              </w:rPr>
              <w:t xml:space="preserve"> and preservation?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2728CC" w14:textId="77777777" w:rsidR="00DA08D7" w:rsidRDefault="00DA08D7" w:rsidP="00832260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2155B073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145" w14:textId="4F921D56" w:rsidR="00A44783" w:rsidRDefault="00A44783" w:rsidP="00A44783">
            <w:pPr>
              <w:jc w:val="center"/>
            </w:pPr>
            <w:bookmarkStart w:id="1" w:name="_Hlk55482022"/>
            <w:bookmarkEnd w:id="0"/>
            <w:r>
              <w:rPr>
                <w:rFonts w:ascii="Calibri" w:eastAsia="Calibri" w:hAnsi="Calibri" w:cs="Calibri"/>
              </w:rPr>
              <w:t>E1.100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601" w14:textId="337C591D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835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Special handling of tissue that is hazardous to eye bank personnel (active viral hepatitis, AIDS, HIV seropositivity, etc.)?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CE9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C2CB3B6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264" w14:textId="44738474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5A2" w14:textId="1EAD2498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2B5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Examining tissue with a penlight or a portable slit lamp prior to enucleation or in situ removal?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ED7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24DF70B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382" w14:textId="7361958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566" w14:textId="01B1A892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C95" w14:textId="77777777" w:rsidR="00A44783" w:rsidRDefault="00A44783" w:rsidP="00832260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Concentration, volume of solution, and duration of ocular surface exposure to povidone iodine?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3CB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07DA3E6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8F4" w14:textId="179CA4C2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16D" w14:textId="6F69776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4F1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Eye enucleation?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34B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02EBC18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541" w14:textId="3C167B7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904" w14:textId="458C58E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675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In situ corneoscleral disc removal?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DE7B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297371F5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363" w14:textId="343C793B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00E" w14:textId="0F038CF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2ED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Preserving whole eyes?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FC4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042F6517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24E" w14:textId="164308D1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E1.230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D0E" w14:textId="24B5F8CB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04E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Preserving sclera?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1AC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C1545F4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046" w14:textId="7416466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E1.221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AC1" w14:textId="1598DD21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957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Laboratory preservation of tissue?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F62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393D66F0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C4D" w14:textId="2467F582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E1.222, E1.223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6C9" w14:textId="434250B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B6E" w14:textId="77777777" w:rsidR="00A44783" w:rsidRDefault="00A44783" w:rsidP="00832260">
            <w:pPr>
              <w:ind w:right="65"/>
              <w:jc w:val="both"/>
            </w:pPr>
            <w:r>
              <w:rPr>
                <w:rFonts w:ascii="Calibri" w:eastAsia="Calibri" w:hAnsi="Calibri" w:cs="Calibri"/>
              </w:rPr>
              <w:t xml:space="preserve">Other tissue preparation (i.e. pre-cutting for EK, preparation for LAK, etc.)?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FB4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BE81481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8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A6B" w14:textId="62208507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D8F" w14:textId="149C4EFD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3BF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Storage solution that is manufactured in accordance with U.S. FDA Good Manufacturing Practices and stored in accordance with the manufacturer's recommendations?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D8F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5D1FCB5B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C44" w14:textId="4B8EF389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E1.400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768" w14:textId="4621AE61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E4B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Long term tissue preservation?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118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7448055D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2CB" w14:textId="152B906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C53" w14:textId="434EF4F0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66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A slit lamp examination of the whole eye prior to distribution for surgical use as a whole eye?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9D3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72CBA2C7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618" w14:textId="4717864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A03" w14:textId="6C868178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DC6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A slit lamp examination of the corneoscleral disc after excision?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FBF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3CB9FC6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7D2" w14:textId="7F21BD38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994" w14:textId="4C650B7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5A3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Slit lamp examination following additional tissue preparation (i.e. </w:t>
            </w:r>
          </w:p>
          <w:p w14:paraId="0B90C403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for EK, LAK, etc.)?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9BE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A3E6EB4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8EE" w14:textId="5B75093A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634" w14:textId="33EFD6BB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505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Specular microscopic exam of corneas?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946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44783" w14:paraId="68133EB0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C25" w14:textId="130D838D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1D6" w14:textId="087C73D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C40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Specular microscopic exam of corneas following additional tissue preparation (i.e. for EK, LAK, etc.)?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050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2D3D22CA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911" w14:textId="2975D59B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F1.200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6ED" w14:textId="28905980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590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Medical Director waiver of specular exam?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BB5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77AAEBF2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10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687" w14:textId="44C65433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F1.300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608" w14:textId="0798F40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B91" w14:textId="77777777" w:rsidR="00A44783" w:rsidRDefault="00A44783" w:rsidP="00832260">
            <w:pPr>
              <w:ind w:right="53"/>
            </w:pPr>
            <w:r>
              <w:rPr>
                <w:rFonts w:ascii="Calibri" w:eastAsia="Calibri" w:hAnsi="Calibri" w:cs="Calibri"/>
              </w:rPr>
              <w:t xml:space="preserve">Appropriate evaluation criteria to determine suitability of all tissues prepared by the bank (penetrating keratoplasty, anterior lamellar keratoplasty, endothelial keratoplasty, keratolimbal allograft, and/or tectonic use)?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A6A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44783" w14:paraId="2F38A6D7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224" w14:textId="11D79A8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G1.000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967" w14:textId="174FCD91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4AA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Soliciting reports of adverse reactions from surgeons?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C33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02A13DD9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8C1" w14:textId="6B8DE0B5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G1.000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500" w14:textId="3CF25FF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D661" w14:textId="2FF734D4" w:rsidR="00A44783" w:rsidRDefault="00A44783" w:rsidP="00832260">
            <w:r>
              <w:rPr>
                <w:rFonts w:ascii="Calibri" w:eastAsia="Calibri" w:hAnsi="Calibri" w:cs="Calibri"/>
              </w:rPr>
              <w:t xml:space="preserve">Adverse reaction reporting, </w:t>
            </w:r>
            <w:r w:rsidR="00F06C2E">
              <w:rPr>
                <w:rFonts w:ascii="Calibri" w:eastAsia="Calibri" w:hAnsi="Calibri" w:cs="Calibri"/>
              </w:rPr>
              <w:t>investigating,</w:t>
            </w:r>
            <w:r>
              <w:rPr>
                <w:rFonts w:ascii="Calibri" w:eastAsia="Calibri" w:hAnsi="Calibri" w:cs="Calibri"/>
              </w:rPr>
              <w:t xml:space="preserve"> and implementing corrective actions as needed?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7DD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52802CA2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8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906" w14:textId="395842E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G1.000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80D" w14:textId="0A0B45ED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8A4" w14:textId="567A6E40" w:rsidR="00A44783" w:rsidRDefault="00A44783" w:rsidP="00832260">
            <w:pPr>
              <w:ind w:right="18"/>
            </w:pPr>
            <w:r>
              <w:rPr>
                <w:rFonts w:ascii="Calibri" w:eastAsia="Calibri" w:hAnsi="Calibri" w:cs="Calibri"/>
              </w:rPr>
              <w:t xml:space="preserve">A quality assurance program which monitors and evaluates activities, identifies </w:t>
            </w:r>
            <w:r w:rsidR="00F06C2E">
              <w:rPr>
                <w:rFonts w:ascii="Calibri" w:eastAsia="Calibri" w:hAnsi="Calibri" w:cs="Calibri"/>
              </w:rPr>
              <w:t>problems,</w:t>
            </w:r>
            <w:r>
              <w:rPr>
                <w:rFonts w:ascii="Calibri" w:eastAsia="Calibri" w:hAnsi="Calibri" w:cs="Calibri"/>
              </w:rPr>
              <w:t xml:space="preserve"> and develops plans for corrective action?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753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548B649C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8C2" w14:textId="6D865CCD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G1.200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F27" w14:textId="56A31E28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93E" w14:textId="77777777" w:rsidR="00A44783" w:rsidRDefault="00A44783" w:rsidP="00832260">
            <w:pPr>
              <w:ind w:right="41"/>
            </w:pPr>
            <w:r>
              <w:rPr>
                <w:rFonts w:ascii="Calibri" w:eastAsia="Calibri" w:hAnsi="Calibri" w:cs="Calibri"/>
              </w:rPr>
              <w:t xml:space="preserve">Reporting positive rim culture results to the transplanting surgeon or receiving eye bank?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3B4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01077FF2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4CF" w14:textId="4AC8BDC5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G1.300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E66" w14:textId="12251539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78C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Tissue recall or withdrawal?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432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5CC12825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8DC" w14:textId="33ABD957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H1.000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E43" w14:textId="62BDA9D5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A7A" w14:textId="77777777" w:rsidR="00A44783" w:rsidRDefault="00A44783" w:rsidP="00832260">
            <w:pPr>
              <w:ind w:right="84"/>
            </w:pPr>
            <w:r>
              <w:rPr>
                <w:rFonts w:ascii="Calibri" w:eastAsia="Calibri" w:hAnsi="Calibri" w:cs="Calibri"/>
              </w:rPr>
              <w:t xml:space="preserve">Biohazardous labeling of nonsurgical tissue that is not screened with infectious disease testing?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C4A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2901F746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79E" w14:textId="2129384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I1.000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2FA" w14:textId="4561DFB4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751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Storage conditions for surgical tissue?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A10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E16EA98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BA4" w14:textId="56CFCE49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J1.000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9CB" w14:textId="7D29B4D0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B12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Labeling tissue?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1B7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44783" w14:paraId="4D4A6AAF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D23" w14:textId="440A77CA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K1.300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256" w14:textId="60A24D55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95D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A distribution policy that is just, equitable and fair for all patients served by the bank?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2BF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65CF2E1B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8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87C" w14:textId="4D7DA49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K1.400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FE0" w14:textId="6821536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49E" w14:textId="77777777" w:rsidR="00A44783" w:rsidRDefault="00A44783" w:rsidP="00832260">
            <w:pPr>
              <w:ind w:right="84"/>
            </w:pPr>
            <w:r>
              <w:rPr>
                <w:rFonts w:ascii="Calibri" w:eastAsia="Calibri" w:hAnsi="Calibri" w:cs="Calibri"/>
              </w:rPr>
              <w:t xml:space="preserve">Documenting and sharing tissue transportation and storage information to distributing eye banks and transplanting surgeons for corneas returned and redistributed?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F23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D48793D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B15" w14:textId="618AA3D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K1.500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656" w14:textId="1EBC32C5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5B0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Investigating and reporting fraudulent activity in the distribution, shipping or labeling of tissue?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F9E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0A8C6408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C6B" w14:textId="34F463D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L2.000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246" w14:textId="1EA80D3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A7A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Packaging tissue individually and sealing it using a tamper-evident seal?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D12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2D86577E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8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E3D" w14:textId="3010FC4F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L2.000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101" w14:textId="16AC350C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AD9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Packaging transplantable corneal tissue to maintain cool conditions without freezing, and other tissues (e.g. sclera) with a method appropriate to the method of preservation used?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540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3B729062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8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BF1" w14:textId="677BD8BC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M1.100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4BE" w14:textId="15369A29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611" w14:textId="77777777" w:rsidR="00A44783" w:rsidRDefault="00A44783" w:rsidP="00832260">
            <w:pPr>
              <w:ind w:right="28"/>
            </w:pPr>
            <w:r>
              <w:rPr>
                <w:rFonts w:ascii="Calibri" w:eastAsia="Calibri" w:hAnsi="Calibri" w:cs="Calibri"/>
              </w:rPr>
              <w:t xml:space="preserve">Keeping all donor records for a minimum of ten years from the date of transplantation/ implantation, distribution or whichever is longer?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C8F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749C3E3E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F8D" w14:textId="6AC4E604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M1.200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6CB" w14:textId="1EB92077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A08" w14:textId="77777777" w:rsidR="00A44783" w:rsidRDefault="00A44783" w:rsidP="00832260">
            <w:pPr>
              <w:ind w:right="55"/>
            </w:pPr>
            <w:r>
              <w:rPr>
                <w:rFonts w:ascii="Calibri" w:eastAsia="Calibri" w:hAnsi="Calibri" w:cs="Calibri"/>
              </w:rPr>
              <w:t xml:space="preserve">Maintaining records and communications between the eye bank and its donors and recipients as confidential and privileged?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80A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13B6CA82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EF8" w14:textId="3F1F3632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M1.500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00A" w14:textId="2B6EE226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891" w14:textId="77777777" w:rsidR="00A44783" w:rsidRDefault="00A44783" w:rsidP="00832260">
            <w:r>
              <w:rPr>
                <w:rFonts w:ascii="Calibri" w:eastAsia="Calibri" w:hAnsi="Calibri" w:cs="Calibri"/>
              </w:rPr>
              <w:t xml:space="preserve">Seeking recipient information?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2F6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44783" w14:paraId="410A2E6B" w14:textId="77777777" w:rsidTr="00467472">
        <w:tblPrEx>
          <w:tblCellMar>
            <w:top w:w="0" w:type="dxa"/>
            <w:left w:w="0" w:type="dxa"/>
            <w:right w:w="0" w:type="dxa"/>
          </w:tblCellMar>
        </w:tblPrEx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71C" w14:textId="57E6984E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M1.500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B9D" w14:textId="446DD3A2" w:rsidR="00A44783" w:rsidRDefault="00A44783" w:rsidP="00A44783">
            <w:pPr>
              <w:jc w:val="center"/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C32" w14:textId="114DF039" w:rsidR="00A44783" w:rsidRDefault="00A44783" w:rsidP="00832260">
            <w:r>
              <w:rPr>
                <w:rFonts w:ascii="Calibri" w:eastAsia="Calibri" w:hAnsi="Calibri" w:cs="Calibri"/>
              </w:rPr>
              <w:t xml:space="preserve">When the distributing bank, seeking </w:t>
            </w:r>
            <w:r w:rsidR="00F06C2E">
              <w:rPr>
                <w:rFonts w:ascii="Calibri" w:eastAsia="Calibri" w:hAnsi="Calibri" w:cs="Calibri"/>
              </w:rPr>
              <w:t>3–6-month</w:t>
            </w:r>
            <w:r>
              <w:rPr>
                <w:rFonts w:ascii="Calibri" w:eastAsia="Calibri" w:hAnsi="Calibri" w:cs="Calibri"/>
              </w:rPr>
              <w:t xml:space="preserve"> post-operative outcome information?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52A" w14:textId="77777777" w:rsidR="00A44783" w:rsidRDefault="00A44783" w:rsidP="00832260">
            <w:pPr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bookmarkEnd w:id="1"/>
    </w:tbl>
    <w:p w14:paraId="4AA6F6CD" w14:textId="3B92A878" w:rsidR="00B212A3" w:rsidRPr="00B212A3" w:rsidRDefault="00B212A3" w:rsidP="00DA08D7">
      <w:pPr>
        <w:pStyle w:val="ListParagraph"/>
      </w:pPr>
    </w:p>
    <w:sectPr w:rsidR="00B212A3" w:rsidRPr="00B212A3" w:rsidSect="00DB4A9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25A9" w14:textId="77777777" w:rsidR="00A415CD" w:rsidRDefault="00A415CD" w:rsidP="00A43F8C">
      <w:r>
        <w:separator/>
      </w:r>
    </w:p>
  </w:endnote>
  <w:endnote w:type="continuationSeparator" w:id="0">
    <w:p w14:paraId="071E1EEB" w14:textId="77777777" w:rsidR="00A415CD" w:rsidRDefault="00A415CD" w:rsidP="00A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jc w:val="center"/>
      <w:tblLook w:val="04A0" w:firstRow="1" w:lastRow="0" w:firstColumn="1" w:lastColumn="0" w:noHBand="0" w:noVBand="1"/>
    </w:tblPr>
    <w:tblGrid>
      <w:gridCol w:w="9280"/>
      <w:gridCol w:w="1335"/>
    </w:tblGrid>
    <w:tr w:rsidR="005455A2" w:rsidRPr="00737524" w14:paraId="658931D3" w14:textId="77777777" w:rsidTr="00A44783">
      <w:trPr>
        <w:jc w:val="center"/>
      </w:trPr>
      <w:tc>
        <w:tcPr>
          <w:tcW w:w="9280" w:type="dxa"/>
          <w:vAlign w:val="center"/>
        </w:tcPr>
        <w:p w14:paraId="3ABBA019" w14:textId="06DCA19D" w:rsidR="005455A2" w:rsidRPr="00737524" w:rsidRDefault="00A44783" w:rsidP="001956C3">
          <w:pPr>
            <w:pStyle w:val="Footer"/>
            <w:tabs>
              <w:tab w:val="left" w:pos="6420"/>
            </w:tabs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>P</w:t>
          </w:r>
          <w:r w:rsidR="000B7193">
            <w:rPr>
              <w:rFonts w:ascii="PT Sans" w:hAnsi="PT Sans"/>
              <w:sz w:val="18"/>
            </w:rPr>
            <w:t xml:space="preserve">IQ/SIQ </w:t>
          </w:r>
          <w:r>
            <w:rPr>
              <w:rFonts w:ascii="PT Sans" w:hAnsi="PT Sans"/>
              <w:sz w:val="18"/>
            </w:rPr>
            <w:t xml:space="preserve">– Crosswalk Document </w:t>
          </w:r>
        </w:p>
      </w:tc>
      <w:tc>
        <w:tcPr>
          <w:tcW w:w="1335" w:type="dxa"/>
        </w:tcPr>
        <w:p w14:paraId="4AF9A058" w14:textId="77777777" w:rsidR="005455A2" w:rsidRPr="00737524" w:rsidRDefault="005455A2" w:rsidP="00737524">
          <w:pPr>
            <w:pStyle w:val="Footer"/>
            <w:jc w:val="center"/>
            <w:rPr>
              <w:rFonts w:ascii="PT Sans" w:hAnsi="PT Sans"/>
              <w:sz w:val="18"/>
            </w:rPr>
          </w:pPr>
          <w:r>
            <w:rPr>
              <w:rFonts w:ascii="PT Sans" w:hAnsi="PT Sans"/>
              <w:sz w:val="18"/>
            </w:rPr>
            <w:t xml:space="preserve">Page </w:t>
          </w:r>
          <w:r w:rsidRPr="00737524">
            <w:rPr>
              <w:rFonts w:ascii="PT Sans" w:hAnsi="PT Sans"/>
              <w:sz w:val="18"/>
            </w:rPr>
            <w:fldChar w:fldCharType="begin"/>
          </w:r>
          <w:r w:rsidRPr="00737524">
            <w:rPr>
              <w:rFonts w:ascii="PT Sans" w:hAnsi="PT Sans"/>
              <w:sz w:val="18"/>
            </w:rPr>
            <w:instrText xml:space="preserve"> PAGE   \* MERGEFORMAT </w:instrText>
          </w:r>
          <w:r w:rsidRPr="00737524">
            <w:rPr>
              <w:rFonts w:ascii="PT Sans" w:hAnsi="PT Sans"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 w:rsidRPr="00737524">
            <w:rPr>
              <w:rFonts w:ascii="PT Sans" w:hAnsi="PT Sans"/>
              <w:noProof/>
              <w:sz w:val="18"/>
            </w:rPr>
            <w:fldChar w:fldCharType="end"/>
          </w:r>
          <w:r>
            <w:rPr>
              <w:rFonts w:ascii="PT Sans" w:hAnsi="PT Sans"/>
              <w:noProof/>
              <w:sz w:val="18"/>
            </w:rPr>
            <w:t xml:space="preserve"> of </w:t>
          </w:r>
          <w:r>
            <w:rPr>
              <w:rFonts w:ascii="PT Sans" w:hAnsi="PT Sans"/>
              <w:noProof/>
              <w:sz w:val="18"/>
            </w:rPr>
            <w:fldChar w:fldCharType="begin"/>
          </w:r>
          <w:r>
            <w:rPr>
              <w:rFonts w:ascii="PT Sans" w:hAnsi="PT Sans"/>
              <w:noProof/>
              <w:sz w:val="18"/>
            </w:rPr>
            <w:instrText xml:space="preserve"> NUMPAGES   \* MERGEFORMAT </w:instrText>
          </w:r>
          <w:r>
            <w:rPr>
              <w:rFonts w:ascii="PT Sans" w:hAnsi="PT Sans"/>
              <w:noProof/>
              <w:sz w:val="18"/>
            </w:rPr>
            <w:fldChar w:fldCharType="separate"/>
          </w:r>
          <w:r w:rsidR="005703D3">
            <w:rPr>
              <w:rFonts w:ascii="PT Sans" w:hAnsi="PT Sans"/>
              <w:noProof/>
              <w:sz w:val="18"/>
            </w:rPr>
            <w:t>1</w:t>
          </w:r>
          <w:r>
            <w:rPr>
              <w:rFonts w:ascii="PT Sans" w:hAnsi="PT Sans"/>
              <w:noProof/>
              <w:sz w:val="18"/>
            </w:rPr>
            <w:fldChar w:fldCharType="end"/>
          </w:r>
        </w:p>
      </w:tc>
    </w:tr>
  </w:tbl>
  <w:p w14:paraId="5B494E08" w14:textId="77777777" w:rsidR="005455A2" w:rsidRPr="00A50A98" w:rsidRDefault="005455A2" w:rsidP="00737524">
    <w:pPr>
      <w:pStyle w:val="Footer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EB81" w14:textId="77777777" w:rsidR="00A415CD" w:rsidRDefault="00A415CD" w:rsidP="00A43F8C">
      <w:r>
        <w:separator/>
      </w:r>
    </w:p>
  </w:footnote>
  <w:footnote w:type="continuationSeparator" w:id="0">
    <w:p w14:paraId="0991E7F6" w14:textId="77777777" w:rsidR="00A415CD" w:rsidRDefault="00A415CD" w:rsidP="00A4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455A2" w14:paraId="6C64AE9D" w14:textId="77777777" w:rsidTr="0009306F">
      <w:trPr>
        <w:jc w:val="center"/>
      </w:trPr>
      <w:tc>
        <w:tcPr>
          <w:tcW w:w="5395" w:type="dxa"/>
        </w:tcPr>
        <w:p w14:paraId="3B5C3BAC" w14:textId="77777777" w:rsidR="005455A2" w:rsidRDefault="00021671" w:rsidP="00A43F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BBBE2E" wp14:editId="547BA4A1">
                <wp:extent cx="1580745" cy="914400"/>
                <wp:effectExtent l="0" t="0" r="635" b="0"/>
                <wp:docPr id="1" name="Picture 1" descr="https://restoresight.org/wp-content/uploads/2015/06/EBAA-FINAL-logo-RGB-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toresight.org/wp-content/uploads/2015/06/EBAA-FINAL-logo-RGB-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7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5C6A12EB" w14:textId="03434D06" w:rsidR="00DA08D7" w:rsidRPr="00A43F8C" w:rsidRDefault="00DA08D7" w:rsidP="000B7193">
          <w:pPr>
            <w:pStyle w:val="Header"/>
            <w:jc w:val="center"/>
            <w:rPr>
              <w:rFonts w:ascii="PT Sans" w:hAnsi="PT Sans"/>
              <w:b/>
              <w:sz w:val="28"/>
            </w:rPr>
          </w:pPr>
          <w:r>
            <w:rPr>
              <w:rFonts w:ascii="PT Sans" w:hAnsi="PT Sans"/>
              <w:b/>
              <w:sz w:val="28"/>
            </w:rPr>
            <w:t>P</w:t>
          </w:r>
          <w:r w:rsidR="000B7193">
            <w:rPr>
              <w:rFonts w:ascii="PT Sans" w:hAnsi="PT Sans"/>
              <w:b/>
              <w:sz w:val="28"/>
            </w:rPr>
            <w:t xml:space="preserve">olicies &amp; Procedures Manual </w:t>
          </w:r>
          <w:r>
            <w:rPr>
              <w:rFonts w:ascii="PT Sans" w:hAnsi="PT Sans"/>
              <w:b/>
              <w:sz w:val="28"/>
            </w:rPr>
            <w:t xml:space="preserve">Crosswalk Document </w:t>
          </w:r>
        </w:p>
      </w:tc>
    </w:tr>
    <w:tr w:rsidR="005455A2" w14:paraId="5920781E" w14:textId="77777777" w:rsidTr="0009306F">
      <w:trPr>
        <w:trHeight w:val="20"/>
        <w:jc w:val="center"/>
      </w:trPr>
      <w:tc>
        <w:tcPr>
          <w:tcW w:w="5395" w:type="dxa"/>
          <w:tcBorders>
            <w:bottom w:val="single" w:sz="4" w:space="0" w:color="auto"/>
          </w:tcBorders>
        </w:tcPr>
        <w:p w14:paraId="6D8BB6CB" w14:textId="77777777" w:rsidR="005455A2" w:rsidRPr="00A43F8C" w:rsidRDefault="005455A2" w:rsidP="00A43F8C">
          <w:pPr>
            <w:rPr>
              <w:sz w:val="12"/>
            </w:rPr>
          </w:pPr>
        </w:p>
      </w:tc>
      <w:tc>
        <w:tcPr>
          <w:tcW w:w="5395" w:type="dxa"/>
          <w:tcBorders>
            <w:bottom w:val="single" w:sz="4" w:space="0" w:color="auto"/>
          </w:tcBorders>
          <w:vAlign w:val="center"/>
        </w:tcPr>
        <w:p w14:paraId="23F06A08" w14:textId="77777777" w:rsidR="005455A2" w:rsidRPr="00A43F8C" w:rsidRDefault="005455A2" w:rsidP="00A43F8C">
          <w:pPr>
            <w:rPr>
              <w:sz w:val="12"/>
            </w:rPr>
          </w:pPr>
        </w:p>
      </w:tc>
    </w:tr>
  </w:tbl>
  <w:p w14:paraId="4DACEE1D" w14:textId="77777777" w:rsidR="005455A2" w:rsidRDefault="005455A2" w:rsidP="00A43F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9.6pt;height:61.2pt" o:bullet="t">
        <v:imagedata r:id="rId1" o:title="EyeLogo"/>
      </v:shape>
    </w:pict>
  </w:numPicBullet>
  <w:abstractNum w:abstractNumId="0" w15:restartNumberingAfterBreak="0">
    <w:nsid w:val="14EA0216"/>
    <w:multiLevelType w:val="hybridMultilevel"/>
    <w:tmpl w:val="638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7FB7"/>
    <w:multiLevelType w:val="multilevel"/>
    <w:tmpl w:val="008EC5D2"/>
    <w:lvl w:ilvl="0">
      <w:start w:val="1"/>
      <w:numFmt w:val="decimal"/>
      <w:pStyle w:val="DLSH1"/>
      <w:lvlText w:val="%1."/>
      <w:lvlJc w:val="left"/>
      <w:pPr>
        <w:ind w:left="360" w:hanging="360"/>
      </w:pPr>
    </w:lvl>
    <w:lvl w:ilvl="1">
      <w:start w:val="1"/>
      <w:numFmt w:val="decimal"/>
      <w:pStyle w:val="DLSH2"/>
      <w:lvlText w:val="%1.%2."/>
      <w:lvlJc w:val="left"/>
      <w:pPr>
        <w:ind w:left="792" w:hanging="432"/>
      </w:pPr>
    </w:lvl>
    <w:lvl w:ilvl="2">
      <w:start w:val="1"/>
      <w:numFmt w:val="decimal"/>
      <w:pStyle w:val="DLSH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E5FF1"/>
    <w:multiLevelType w:val="hybridMultilevel"/>
    <w:tmpl w:val="7C26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6929"/>
    <w:multiLevelType w:val="hybridMultilevel"/>
    <w:tmpl w:val="162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1834"/>
    <w:multiLevelType w:val="hybridMultilevel"/>
    <w:tmpl w:val="5A1C3E8C"/>
    <w:lvl w:ilvl="0" w:tplc="DB7E1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11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8C"/>
    <w:rsid w:val="00021671"/>
    <w:rsid w:val="000263FD"/>
    <w:rsid w:val="000308BC"/>
    <w:rsid w:val="00046DFB"/>
    <w:rsid w:val="00063096"/>
    <w:rsid w:val="00067197"/>
    <w:rsid w:val="00072BEB"/>
    <w:rsid w:val="0007383F"/>
    <w:rsid w:val="000832E8"/>
    <w:rsid w:val="0009306F"/>
    <w:rsid w:val="000A3FAD"/>
    <w:rsid w:val="000B7193"/>
    <w:rsid w:val="000C0EDD"/>
    <w:rsid w:val="00106EFF"/>
    <w:rsid w:val="0012328B"/>
    <w:rsid w:val="00136138"/>
    <w:rsid w:val="00171AED"/>
    <w:rsid w:val="00175A64"/>
    <w:rsid w:val="001956C3"/>
    <w:rsid w:val="00196BAA"/>
    <w:rsid w:val="001A5707"/>
    <w:rsid w:val="001A6A76"/>
    <w:rsid w:val="001E1A64"/>
    <w:rsid w:val="00215BAB"/>
    <w:rsid w:val="0024170B"/>
    <w:rsid w:val="0024454E"/>
    <w:rsid w:val="002A2E22"/>
    <w:rsid w:val="002C445E"/>
    <w:rsid w:val="002C7954"/>
    <w:rsid w:val="002D504B"/>
    <w:rsid w:val="002F22CB"/>
    <w:rsid w:val="002F2B6C"/>
    <w:rsid w:val="003447A6"/>
    <w:rsid w:val="003711B6"/>
    <w:rsid w:val="00375170"/>
    <w:rsid w:val="003A5E8F"/>
    <w:rsid w:val="003C3644"/>
    <w:rsid w:val="003D7448"/>
    <w:rsid w:val="0040110B"/>
    <w:rsid w:val="00405032"/>
    <w:rsid w:val="004111E3"/>
    <w:rsid w:val="00412378"/>
    <w:rsid w:val="00415FC2"/>
    <w:rsid w:val="00416BCA"/>
    <w:rsid w:val="0042590F"/>
    <w:rsid w:val="00462A95"/>
    <w:rsid w:val="00463572"/>
    <w:rsid w:val="00467472"/>
    <w:rsid w:val="00477528"/>
    <w:rsid w:val="00483506"/>
    <w:rsid w:val="004C4225"/>
    <w:rsid w:val="004C70C5"/>
    <w:rsid w:val="004D0151"/>
    <w:rsid w:val="00523EA9"/>
    <w:rsid w:val="00535A5B"/>
    <w:rsid w:val="00544295"/>
    <w:rsid w:val="005455A2"/>
    <w:rsid w:val="005549D1"/>
    <w:rsid w:val="00555DB7"/>
    <w:rsid w:val="005703D3"/>
    <w:rsid w:val="0058044C"/>
    <w:rsid w:val="00584A26"/>
    <w:rsid w:val="00586790"/>
    <w:rsid w:val="005937E3"/>
    <w:rsid w:val="005B18B5"/>
    <w:rsid w:val="005B2821"/>
    <w:rsid w:val="005D47D2"/>
    <w:rsid w:val="005F6C16"/>
    <w:rsid w:val="00601438"/>
    <w:rsid w:val="00632B94"/>
    <w:rsid w:val="00661F5F"/>
    <w:rsid w:val="006622DC"/>
    <w:rsid w:val="00677605"/>
    <w:rsid w:val="00690E3B"/>
    <w:rsid w:val="006C1D9C"/>
    <w:rsid w:val="006D43D2"/>
    <w:rsid w:val="006D7129"/>
    <w:rsid w:val="006E17DB"/>
    <w:rsid w:val="006E3A44"/>
    <w:rsid w:val="006F384A"/>
    <w:rsid w:val="006F3D15"/>
    <w:rsid w:val="00737524"/>
    <w:rsid w:val="00743313"/>
    <w:rsid w:val="0074792F"/>
    <w:rsid w:val="00763625"/>
    <w:rsid w:val="007644C8"/>
    <w:rsid w:val="00774FEA"/>
    <w:rsid w:val="00775443"/>
    <w:rsid w:val="00791A0C"/>
    <w:rsid w:val="007A0EF0"/>
    <w:rsid w:val="007C7A0F"/>
    <w:rsid w:val="007D28C5"/>
    <w:rsid w:val="007D484F"/>
    <w:rsid w:val="007E544A"/>
    <w:rsid w:val="00805011"/>
    <w:rsid w:val="0081144B"/>
    <w:rsid w:val="00811F0F"/>
    <w:rsid w:val="00841D64"/>
    <w:rsid w:val="00852FD7"/>
    <w:rsid w:val="0088790A"/>
    <w:rsid w:val="00887E73"/>
    <w:rsid w:val="008C4853"/>
    <w:rsid w:val="009003DE"/>
    <w:rsid w:val="0090333C"/>
    <w:rsid w:val="009374C1"/>
    <w:rsid w:val="009600CD"/>
    <w:rsid w:val="009A21D1"/>
    <w:rsid w:val="009B7AAB"/>
    <w:rsid w:val="009C25E6"/>
    <w:rsid w:val="009D48EB"/>
    <w:rsid w:val="00A415CD"/>
    <w:rsid w:val="00A43F8C"/>
    <w:rsid w:val="00A44783"/>
    <w:rsid w:val="00A50755"/>
    <w:rsid w:val="00A50A98"/>
    <w:rsid w:val="00A64071"/>
    <w:rsid w:val="00B03840"/>
    <w:rsid w:val="00B212A3"/>
    <w:rsid w:val="00B32BC1"/>
    <w:rsid w:val="00B940D3"/>
    <w:rsid w:val="00BD1C78"/>
    <w:rsid w:val="00C24060"/>
    <w:rsid w:val="00C24D91"/>
    <w:rsid w:val="00C53EB2"/>
    <w:rsid w:val="00C56B69"/>
    <w:rsid w:val="00C60329"/>
    <w:rsid w:val="00CA4BAD"/>
    <w:rsid w:val="00CC2BA6"/>
    <w:rsid w:val="00CC3A95"/>
    <w:rsid w:val="00CC3DDD"/>
    <w:rsid w:val="00CE0594"/>
    <w:rsid w:val="00CE344D"/>
    <w:rsid w:val="00CE3EDA"/>
    <w:rsid w:val="00D1375F"/>
    <w:rsid w:val="00D2011C"/>
    <w:rsid w:val="00D22008"/>
    <w:rsid w:val="00D447C2"/>
    <w:rsid w:val="00D5517B"/>
    <w:rsid w:val="00D61845"/>
    <w:rsid w:val="00DA08D7"/>
    <w:rsid w:val="00DA61A8"/>
    <w:rsid w:val="00DB4A9F"/>
    <w:rsid w:val="00DE0B23"/>
    <w:rsid w:val="00DE216C"/>
    <w:rsid w:val="00E07485"/>
    <w:rsid w:val="00F03C85"/>
    <w:rsid w:val="00F04E3C"/>
    <w:rsid w:val="00F06C23"/>
    <w:rsid w:val="00F06C2E"/>
    <w:rsid w:val="00F13DC6"/>
    <w:rsid w:val="00F459E3"/>
    <w:rsid w:val="00F45A30"/>
    <w:rsid w:val="00F54FB6"/>
    <w:rsid w:val="00F67145"/>
    <w:rsid w:val="00F72270"/>
    <w:rsid w:val="00F863EB"/>
    <w:rsid w:val="00F959AA"/>
    <w:rsid w:val="00F964DF"/>
    <w:rsid w:val="00FD58AB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C328"/>
  <w15:chartTrackingRefBased/>
  <w15:docId w15:val="{AC4127B2-388D-4A2F-AB4D-1957568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8C"/>
  </w:style>
  <w:style w:type="paragraph" w:styleId="Footer">
    <w:name w:val="footer"/>
    <w:basedOn w:val="Normal"/>
    <w:link w:val="FooterChar"/>
    <w:uiPriority w:val="99"/>
    <w:unhideWhenUsed/>
    <w:rsid w:val="00A4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8C"/>
  </w:style>
  <w:style w:type="table" w:styleId="TableGrid">
    <w:name w:val="Table Grid"/>
    <w:basedOn w:val="TableNormal"/>
    <w:uiPriority w:val="59"/>
    <w:rsid w:val="00A4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445E"/>
    <w:pPr>
      <w:ind w:left="720"/>
      <w:contextualSpacing/>
    </w:pPr>
  </w:style>
  <w:style w:type="paragraph" w:customStyle="1" w:styleId="DLSH1">
    <w:name w:val="DLSH_1"/>
    <w:basedOn w:val="ListParagraph"/>
    <w:link w:val="DLSH1Char"/>
    <w:qFormat/>
    <w:rsid w:val="00412378"/>
    <w:pPr>
      <w:numPr>
        <w:numId w:val="1"/>
      </w:numPr>
      <w:spacing w:before="120" w:after="120"/>
    </w:pPr>
    <w:rPr>
      <w:b/>
    </w:rPr>
  </w:style>
  <w:style w:type="paragraph" w:customStyle="1" w:styleId="DLSH2">
    <w:name w:val="DLSH_2"/>
    <w:basedOn w:val="DLSH1"/>
    <w:link w:val="DLSH2Char"/>
    <w:autoRedefine/>
    <w:qFormat/>
    <w:rsid w:val="004C4225"/>
    <w:pPr>
      <w:numPr>
        <w:ilvl w:val="1"/>
      </w:numPr>
      <w:tabs>
        <w:tab w:val="left" w:pos="900"/>
      </w:tabs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378"/>
  </w:style>
  <w:style w:type="character" w:customStyle="1" w:styleId="DLSH1Char">
    <w:name w:val="DLSH_1 Char"/>
    <w:basedOn w:val="ListParagraphChar"/>
    <w:link w:val="DLSH1"/>
    <w:rsid w:val="00412378"/>
    <w:rPr>
      <w:b/>
    </w:rPr>
  </w:style>
  <w:style w:type="paragraph" w:customStyle="1" w:styleId="DLSH3">
    <w:name w:val="DLSH_3"/>
    <w:basedOn w:val="DLSH2"/>
    <w:link w:val="DLSH3Char"/>
    <w:qFormat/>
    <w:rsid w:val="00412378"/>
    <w:pPr>
      <w:numPr>
        <w:ilvl w:val="2"/>
      </w:numPr>
      <w:ind w:left="1296" w:hanging="576"/>
    </w:pPr>
  </w:style>
  <w:style w:type="character" w:customStyle="1" w:styleId="DLSH2Char">
    <w:name w:val="DLSH_2 Char"/>
    <w:basedOn w:val="DLSH1Char"/>
    <w:link w:val="DLSH2"/>
    <w:rsid w:val="004C4225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25"/>
    <w:rPr>
      <w:rFonts w:ascii="Segoe UI" w:hAnsi="Segoe UI" w:cs="Segoe UI"/>
      <w:sz w:val="18"/>
      <w:szCs w:val="18"/>
    </w:rPr>
  </w:style>
  <w:style w:type="character" w:customStyle="1" w:styleId="DLSH3Char">
    <w:name w:val="DLSH_3 Char"/>
    <w:basedOn w:val="DLSH2Char"/>
    <w:link w:val="DLSH3"/>
    <w:rsid w:val="00412378"/>
    <w:rPr>
      <w:b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A08D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AF06-1A4A-4A62-9E53-FD48450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SDLETB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Arnett</dc:creator>
  <cp:keywords/>
  <dc:description/>
  <cp:lastModifiedBy>Genevieve Magnuson</cp:lastModifiedBy>
  <cp:revision>2</cp:revision>
  <cp:lastPrinted>2018-09-28T13:19:00Z</cp:lastPrinted>
  <dcterms:created xsi:type="dcterms:W3CDTF">2021-09-08T17:05:00Z</dcterms:created>
  <dcterms:modified xsi:type="dcterms:W3CDTF">2021-09-08T17:05:00Z</dcterms:modified>
</cp:coreProperties>
</file>